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34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</w:t>
      </w:r>
      <w:r w:rsidR="003469F6">
        <w:rPr>
          <w:rFonts w:ascii="Times New Roman" w:eastAsia="Times New Roman" w:hAnsi="Times New Roman" w:cs="Times New Roman"/>
          <w:b/>
          <w:lang w:eastAsia="ru-RU"/>
        </w:rPr>
        <w:t>в государственной неразграниченной собственности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316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2320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чений и серв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826A00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Стерхова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Татьяна Михайловна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010001:316,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Удмуртская Республика, </w:t>
      </w:r>
      <w:proofErr w:type="spellStart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3469F6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2320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bookmarkStart w:id="0" w:name="_GoBack"/>
      <w:bookmarkEnd w:id="0"/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>Стерхова</w:t>
                  </w:r>
                  <w:proofErr w:type="spellEnd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Татьяна Михайловна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469F6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2C4D5-F91C-44FF-8B54-100BCF50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2025-06-03T04:50:00Z</cp:lastPrinted>
  <dcterms:created xsi:type="dcterms:W3CDTF">2025-04-09T12:25:00Z</dcterms:created>
  <dcterms:modified xsi:type="dcterms:W3CDTF">2025-07-31T03:33:00Z</dcterms:modified>
</cp:coreProperties>
</file>